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AA" w:rsidRDefault="006101AA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1B3D18" w:rsidRPr="006F2B42" w:rsidRDefault="006101AA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ЈАВНИ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ПОЗИВ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</w:p>
    <w:p w:rsidR="001B3D18" w:rsidRPr="006F2B42" w:rsidRDefault="006101AA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за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финансирање</w:t>
      </w:r>
      <w:r w:rsidR="001B3D18" w:rsidRPr="006F2B42">
        <w:rPr>
          <w:rFonts w:ascii="Arial" w:hAnsi="Arial" w:cs="Arial"/>
          <w:b/>
          <w:bCs/>
          <w:color w:val="auto"/>
        </w:rPr>
        <w:t>/</w:t>
      </w:r>
      <w:r>
        <w:rPr>
          <w:rFonts w:ascii="Arial" w:hAnsi="Arial" w:cs="Arial"/>
          <w:b/>
          <w:bCs/>
          <w:color w:val="auto"/>
        </w:rPr>
        <w:t>суфинансирање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пројеката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из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области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предшколског</w:t>
      </w:r>
      <w:r w:rsidR="001B3D18" w:rsidRPr="006F2B4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основног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и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средњег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образовања</w:t>
      </w:r>
      <w:r w:rsidR="00B0287D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из</w:t>
      </w:r>
      <w:r w:rsidR="00B0287D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Буџета</w:t>
      </w:r>
      <w:r w:rsidR="00B0287D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Федерације</w:t>
      </w:r>
      <w:r w:rsidR="00B0287D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БиХ</w:t>
      </w:r>
      <w:r w:rsidR="001B3D18" w:rsidRPr="006F2B42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у</w:t>
      </w:r>
      <w:r w:rsidR="001B3D18" w:rsidRPr="006F2B42">
        <w:rPr>
          <w:rFonts w:ascii="Arial" w:hAnsi="Arial" w:cs="Arial"/>
          <w:b/>
          <w:bCs/>
          <w:color w:val="auto"/>
        </w:rPr>
        <w:t xml:space="preserve"> 2016. </w:t>
      </w:r>
      <w:r>
        <w:rPr>
          <w:rFonts w:ascii="Arial" w:hAnsi="Arial" w:cs="Arial"/>
          <w:b/>
          <w:bCs/>
          <w:color w:val="auto"/>
        </w:rPr>
        <w:t>години</w:t>
      </w:r>
    </w:p>
    <w:p w:rsidR="00B0287D" w:rsidRPr="001B3D18" w:rsidRDefault="00B0287D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1B3D18" w:rsidRDefault="006101AA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Федерално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расписује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финансирање</w:t>
      </w:r>
      <w:r w:rsidR="004B02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суфинансирање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пројеката</w:t>
      </w:r>
      <w:r w:rsidR="001B3D1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из</w:t>
      </w:r>
      <w:r w:rsidR="001B3D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Буџета</w:t>
      </w:r>
      <w:r w:rsidR="001B3D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Федерације</w:t>
      </w:r>
      <w:r w:rsidR="00B028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Босне</w:t>
      </w:r>
      <w:r w:rsidR="00B028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</w:t>
      </w:r>
      <w:r w:rsidR="00B028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Херцеговине</w:t>
      </w:r>
      <w:r w:rsidR="00B028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за</w:t>
      </w:r>
      <w:r w:rsidR="00B0287D">
        <w:rPr>
          <w:rFonts w:ascii="Arial" w:hAnsi="Arial" w:cs="Arial"/>
          <w:bCs/>
          <w:color w:val="auto"/>
          <w:sz w:val="22"/>
          <w:szCs w:val="22"/>
        </w:rPr>
        <w:t xml:space="preserve"> 2016</w:t>
      </w:r>
      <w:r w:rsidR="001B3D18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годину</w:t>
      </w:r>
      <w:r w:rsidR="001B3D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програме</w:t>
      </w:r>
      <w:r w:rsidR="001B3D18">
        <w:rPr>
          <w:rFonts w:ascii="Arial" w:hAnsi="Arial" w:cs="Arial"/>
          <w:sz w:val="22"/>
          <w:szCs w:val="22"/>
        </w:rPr>
        <w:t>:</w:t>
      </w:r>
    </w:p>
    <w:p w:rsidR="001B3D18" w:rsidRDefault="001B3D18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</w:p>
    <w:p w:rsidR="001B3D18" w:rsidRPr="006F750B" w:rsidRDefault="001B3D18" w:rsidP="006F750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lang w:val="hr-BA"/>
        </w:rPr>
      </w:pPr>
      <w:r w:rsidRPr="009C4E4D">
        <w:rPr>
          <w:rFonts w:ascii="Arial" w:hAnsi="Arial" w:cs="Arial"/>
          <w:sz w:val="22"/>
          <w:szCs w:val="22"/>
          <w:lang w:val="hr-BA"/>
        </w:rPr>
        <w:t>„</w:t>
      </w:r>
      <w:r w:rsidR="006F750B" w:rsidRPr="006F750B">
        <w:rPr>
          <w:rFonts w:ascii="Arial" w:hAnsi="Arial" w:cs="Arial"/>
          <w:sz w:val="22"/>
          <w:szCs w:val="22"/>
          <w:lang w:val="hr-BA"/>
        </w:rPr>
        <w:t>Подршка пројектима побољшања инклузивности предшколског и основног образовања</w:t>
      </w:r>
      <w:r w:rsidR="00F41889" w:rsidRPr="006F750B">
        <w:rPr>
          <w:rFonts w:ascii="Arial" w:hAnsi="Arial" w:cs="Arial"/>
          <w:sz w:val="22"/>
          <w:szCs w:val="22"/>
          <w:lang w:val="hr-BA"/>
        </w:rPr>
        <w:t>“</w:t>
      </w:r>
    </w:p>
    <w:p w:rsidR="006F750B" w:rsidRPr="006F750B" w:rsidRDefault="006F750B" w:rsidP="006F750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„</w:t>
      </w:r>
      <w:r w:rsidRPr="006F750B">
        <w:rPr>
          <w:rFonts w:ascii="Arial" w:hAnsi="Arial" w:cs="Arial"/>
          <w:sz w:val="22"/>
          <w:szCs w:val="22"/>
          <w:lang w:val="hr-BA"/>
        </w:rPr>
        <w:t>Подршка стручном усавршавању и цјеложивотном учењу просвјетних радника у предшколском, основном и средњем образовању</w:t>
      </w:r>
      <w:r>
        <w:rPr>
          <w:rFonts w:ascii="Arial" w:hAnsi="Arial" w:cs="Arial"/>
          <w:sz w:val="22"/>
          <w:szCs w:val="22"/>
          <w:lang w:val="hr-BA"/>
        </w:rPr>
        <w:t>“</w:t>
      </w:r>
    </w:p>
    <w:p w:rsidR="006F750B" w:rsidRPr="006F750B" w:rsidRDefault="006F750B" w:rsidP="006F750B">
      <w:pPr>
        <w:jc w:val="both"/>
        <w:rPr>
          <w:rFonts w:ascii="Arial Black" w:hAnsi="Arial Black" w:cs="Arial"/>
          <w:b/>
          <w:sz w:val="20"/>
          <w:szCs w:val="20"/>
        </w:rPr>
      </w:pPr>
    </w:p>
    <w:p w:rsidR="006F750B" w:rsidRPr="0091366B" w:rsidRDefault="006F750B" w:rsidP="006F750B">
      <w:pPr>
        <w:pStyle w:val="ListParagraph"/>
        <w:ind w:left="360"/>
        <w:jc w:val="both"/>
        <w:rPr>
          <w:rFonts w:ascii="Arial Black" w:hAnsi="Arial Black" w:cs="Arial"/>
          <w:b/>
          <w:sz w:val="20"/>
          <w:szCs w:val="20"/>
          <w:lang w:val="hr-BA"/>
        </w:rPr>
      </w:pPr>
    </w:p>
    <w:p w:rsidR="001B3D18" w:rsidRPr="0091366B" w:rsidRDefault="006101AA" w:rsidP="006F750B">
      <w:pPr>
        <w:pStyle w:val="ListParagraph"/>
        <w:numPr>
          <w:ilvl w:val="0"/>
          <w:numId w:val="7"/>
        </w:numPr>
        <w:jc w:val="both"/>
        <w:rPr>
          <w:rFonts w:ascii="Arial Black" w:hAnsi="Arial Black" w:cs="Arial"/>
          <w:b/>
          <w:sz w:val="20"/>
          <w:szCs w:val="20"/>
          <w:lang w:val="hr-BA"/>
        </w:rPr>
      </w:pPr>
      <w:r>
        <w:rPr>
          <w:rFonts w:ascii="Arial Black" w:hAnsi="Arial Black" w:cs="Arial"/>
          <w:b/>
          <w:sz w:val="20"/>
          <w:szCs w:val="20"/>
        </w:rPr>
        <w:t>УПУТСТВО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ЗА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ПОДНОШЕЊЕ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ПРИЈАВА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НА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ЈАВНИ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ПОЗИВ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ЗА</w:t>
      </w:r>
      <w:r w:rsidR="001B3D18" w:rsidRPr="0091366B">
        <w:rPr>
          <w:rFonts w:ascii="Arial Black" w:hAnsi="Arial Black" w:cs="Arial"/>
          <w:b/>
          <w:bCs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ФИНАНСИРАЊЕ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ПРОЈЕКАТА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ИЗ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ОБЛАСТИ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ПРЕДШКОЛСКОГ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, </w:t>
      </w:r>
      <w:r>
        <w:rPr>
          <w:rFonts w:ascii="Arial Black" w:hAnsi="Arial Black" w:cs="Arial"/>
          <w:b/>
          <w:sz w:val="20"/>
          <w:szCs w:val="20"/>
        </w:rPr>
        <w:t>ОСНОВНОГ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И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СРЕДЊЕГ</w:t>
      </w:r>
      <w:r w:rsidR="001B3D18" w:rsidRPr="0091366B">
        <w:rPr>
          <w:rFonts w:ascii="Arial Black" w:hAnsi="Arial Black" w:cs="Arial"/>
          <w:b/>
          <w:sz w:val="20"/>
          <w:szCs w:val="20"/>
          <w:lang w:val="hr-BA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ОБРАЗОВАЊА</w:t>
      </w:r>
    </w:p>
    <w:p w:rsidR="001B3D18" w:rsidRPr="007E26FC" w:rsidRDefault="001B3D18" w:rsidP="001B3D18">
      <w:pPr>
        <w:jc w:val="center"/>
        <w:rPr>
          <w:rFonts w:ascii="Arial" w:hAnsi="Arial" w:cs="Arial"/>
          <w:b/>
          <w:sz w:val="20"/>
          <w:szCs w:val="20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финансирање</w:t>
      </w:r>
      <w:r w:rsidR="001B3D1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суфинансирање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попунити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одговарајућем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преузима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>
        <w:rPr>
          <w:rFonts w:ascii="Arial" w:hAnsi="Arial" w:cs="Arial"/>
          <w:sz w:val="22"/>
          <w:szCs w:val="22"/>
        </w:rPr>
        <w:t xml:space="preserve"> w</w:t>
      </w:r>
      <w:r w:rsidR="00E0053C">
        <w:rPr>
          <w:rFonts w:ascii="Arial" w:hAnsi="Arial" w:cs="Arial"/>
          <w:sz w:val="22"/>
          <w:szCs w:val="22"/>
        </w:rPr>
        <w:t>еb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странице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1013C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образац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налази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наставку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1B3D18">
        <w:rPr>
          <w:rFonts w:ascii="Arial" w:hAnsi="Arial" w:cs="Arial"/>
          <w:sz w:val="22"/>
          <w:szCs w:val="22"/>
        </w:rPr>
        <w:t>).</w:t>
      </w:r>
    </w:p>
    <w:p w:rsidR="001B3D18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попуњени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овјерени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зјаве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наведену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B3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узимајући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обзир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</w:t>
      </w:r>
      <w:r w:rsidR="001B3D18">
        <w:rPr>
          <w:rFonts w:ascii="Arial" w:hAnsi="Arial" w:cs="Arial"/>
          <w:sz w:val="22"/>
          <w:szCs w:val="22"/>
        </w:rPr>
        <w:t xml:space="preserve"> </w:t>
      </w:r>
      <w:r w:rsidR="00BF3125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правно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буџетски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корисник</w:t>
      </w:r>
      <w:r w:rsidR="001B3D18">
        <w:rPr>
          <w:rFonts w:ascii="Arial" w:hAnsi="Arial" w:cs="Arial"/>
          <w:sz w:val="22"/>
          <w:szCs w:val="22"/>
        </w:rPr>
        <w:t>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Поред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неопходне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242427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013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подносилац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242427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може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додатну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доказује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испуњава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прописане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1B3D18">
        <w:rPr>
          <w:rFonts w:ascii="Arial" w:hAnsi="Arial" w:cs="Arial"/>
          <w:sz w:val="22"/>
          <w:szCs w:val="22"/>
        </w:rPr>
        <w:t>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Попуњен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242427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неопходном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најкасније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истека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позиву</w:t>
      </w:r>
      <w:r w:rsidR="001B3D18">
        <w:rPr>
          <w:rFonts w:ascii="Arial" w:hAnsi="Arial" w:cs="Arial"/>
          <w:sz w:val="22"/>
          <w:szCs w:val="22"/>
        </w:rPr>
        <w:t>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прилозима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истовјетна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примјерка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1B3D1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Федерално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др</w:t>
      </w:r>
      <w:r w:rsidR="001B3D1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Анте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Старчевића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бб</w:t>
      </w:r>
      <w:r w:rsidR="001B3D18">
        <w:rPr>
          <w:rFonts w:ascii="Arial" w:hAnsi="Arial" w:cs="Arial"/>
          <w:sz w:val="22"/>
          <w:szCs w:val="22"/>
        </w:rPr>
        <w:t xml:space="preserve">, 88000 </w:t>
      </w:r>
      <w:r>
        <w:rPr>
          <w:rFonts w:ascii="Arial" w:hAnsi="Arial" w:cs="Arial"/>
          <w:sz w:val="22"/>
          <w:szCs w:val="22"/>
        </w:rPr>
        <w:t>Мостар</w:t>
      </w:r>
      <w:r w:rsidR="001B3D18">
        <w:rPr>
          <w:rFonts w:ascii="Arial" w:hAnsi="Arial" w:cs="Arial"/>
          <w:sz w:val="22"/>
          <w:szCs w:val="22"/>
        </w:rPr>
        <w:t>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</w:t>
      </w:r>
      <w:r w:rsidR="00556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тражена</w:t>
      </w:r>
      <w:r w:rsidR="00556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документација</w:t>
      </w:r>
      <w:r w:rsidR="00556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556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достављени</w:t>
      </w:r>
      <w:r w:rsidR="006F2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6F2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прописаном</w:t>
      </w:r>
      <w:r w:rsidR="006F2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року</w:t>
      </w:r>
      <w:r w:rsidR="006F2B4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као</w:t>
      </w:r>
      <w:r w:rsidR="006F2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6F2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корисника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претходном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периоду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правдали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намјенски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утрошак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додијељених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средстава</w:t>
      </w:r>
      <w:r w:rsidR="006F2B42">
        <w:rPr>
          <w:rFonts w:ascii="Arial" w:hAnsi="Arial" w:cs="Arial"/>
          <w:sz w:val="22"/>
          <w:szCs w:val="22"/>
        </w:rPr>
        <w:t>,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неће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бити</w:t>
      </w:r>
      <w:r w:rsidR="00556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разматрани</w:t>
      </w:r>
      <w:r w:rsidR="001B3D18">
        <w:rPr>
          <w:rFonts w:ascii="Arial" w:hAnsi="Arial" w:cs="Arial"/>
          <w:sz w:val="22"/>
          <w:szCs w:val="22"/>
        </w:rPr>
        <w:t>.</w:t>
      </w:r>
      <w:r w:rsidR="001B3D18">
        <w:rPr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jc w:val="both"/>
        <w:rPr>
          <w:b/>
          <w:sz w:val="22"/>
          <w:szCs w:val="22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Поред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F746B1">
        <w:rPr>
          <w:rFonts w:ascii="Arial" w:hAnsi="Arial" w:cs="Arial"/>
          <w:sz w:val="22"/>
          <w:szCs w:val="22"/>
        </w:rPr>
        <w:t>општ</w:t>
      </w:r>
      <w:r>
        <w:rPr>
          <w:rFonts w:ascii="Arial" w:hAnsi="Arial" w:cs="Arial"/>
          <w:sz w:val="22"/>
          <w:szCs w:val="22"/>
        </w:rPr>
        <w:t>ег</w:t>
      </w:r>
      <w:r w:rsidR="00101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013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подносилац</w:t>
      </w:r>
      <w:r w:rsidR="001013CE">
        <w:rPr>
          <w:rFonts w:ascii="Arial" w:hAnsi="Arial" w:cs="Arial"/>
          <w:sz w:val="22"/>
          <w:szCs w:val="22"/>
        </w:rPr>
        <w:t xml:space="preserve"> </w:t>
      </w:r>
      <w:r w:rsidR="00242427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ахтјева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дужан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проводити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посебна</w:t>
      </w:r>
      <w:r w:rsidR="002B2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сваки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појединачни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</w:t>
      </w:r>
      <w:r w:rsidR="001B3D18">
        <w:rPr>
          <w:rFonts w:ascii="Arial" w:hAnsi="Arial" w:cs="Arial"/>
          <w:sz w:val="22"/>
          <w:szCs w:val="22"/>
        </w:rPr>
        <w:t>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6101AA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предшколског</w:t>
      </w:r>
      <w:r w:rsidR="001B3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основног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средњег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уводном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дијелу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детаљног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обавезног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навести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најважније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установи</w:t>
      </w:r>
      <w:r w:rsidR="001B3D1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број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ученика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њихову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структуру</w:t>
      </w:r>
      <w:r w:rsidR="001B3D1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наставни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кадар</w:t>
      </w:r>
      <w:r w:rsidR="001B3D1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величину</w:t>
      </w:r>
      <w:r w:rsidR="001B3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старост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стање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објекта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установе</w:t>
      </w:r>
      <w:r w:rsidR="001B3D1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степен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квалитет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опремљености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учионица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кабинета</w:t>
      </w:r>
      <w:r w:rsidR="001B3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остале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доношење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оцјене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пројекту</w:t>
      </w:r>
      <w:r w:rsidR="001B3D18">
        <w:rPr>
          <w:rFonts w:ascii="Arial" w:hAnsi="Arial" w:cs="Arial"/>
          <w:sz w:val="22"/>
          <w:szCs w:val="22"/>
        </w:rPr>
        <w:t xml:space="preserve">). </w:t>
      </w:r>
    </w:p>
    <w:p w:rsidR="00B0287D" w:rsidRDefault="00B0287D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F0F4C" w:rsidRDefault="006F0F4C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F0F4C" w:rsidRDefault="006F0F4C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F0F4C" w:rsidRDefault="006F0F4C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F0F4C" w:rsidRDefault="006F0F4C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F0F4C" w:rsidRDefault="006F0F4C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B1A20" w:rsidRDefault="002B1A20"/>
    <w:p w:rsidR="0074012D" w:rsidRDefault="0074012D" w:rsidP="00FC6530">
      <w:pPr>
        <w:jc w:val="center"/>
        <w:rPr>
          <w:rFonts w:ascii="Arial" w:hAnsi="Arial" w:cs="Arial"/>
          <w:b/>
        </w:rPr>
      </w:pPr>
    </w:p>
    <w:p w:rsidR="00FC6530" w:rsidRPr="00FC6530" w:rsidRDefault="00392B49" w:rsidP="00FC6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Критерији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оцјену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пројеката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расподјелу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</w:p>
    <w:p w:rsidR="00FC6530" w:rsidRPr="00FC6530" w:rsidRDefault="00392B49" w:rsidP="00FC6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за</w:t>
      </w:r>
      <w:r w:rsidR="00FC65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пројекте</w:t>
      </w:r>
      <w:r w:rsidR="00FC6530" w:rsidRPr="00FC65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из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области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предшколског</w:t>
      </w:r>
      <w:r w:rsidR="00FC6530" w:rsidRPr="00FC653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основног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средњег</w:t>
      </w:r>
      <w:r w:rsidR="00FC6530" w:rsidRPr="00F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  <w:r w:rsidR="00FC6530" w:rsidRPr="00FC6530">
        <w:rPr>
          <w:rFonts w:ascii="Arial" w:hAnsi="Arial" w:cs="Arial"/>
          <w:b/>
        </w:rPr>
        <w:t xml:space="preserve"> </w:t>
      </w:r>
    </w:p>
    <w:p w:rsidR="00FC6530" w:rsidRDefault="00FC6530" w:rsidP="00FC6530">
      <w:pPr>
        <w:jc w:val="both"/>
        <w:rPr>
          <w:rFonts w:ascii="Arial" w:hAnsi="Arial" w:cs="Arial"/>
        </w:rPr>
      </w:pPr>
    </w:p>
    <w:p w:rsidR="00FC6530" w:rsidRDefault="00392B49" w:rsidP="00FC6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Апликације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подносилаца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F06A88">
        <w:rPr>
          <w:rFonts w:ascii="Arial" w:hAnsi="Arial" w:cs="Arial"/>
          <w:sz w:val="22"/>
          <w:szCs w:val="22"/>
        </w:rPr>
        <w:t>,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тражене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тексту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FC6530">
        <w:rPr>
          <w:rFonts w:ascii="Arial" w:hAnsi="Arial" w:cs="Arial"/>
          <w:sz w:val="22"/>
          <w:szCs w:val="22"/>
        </w:rPr>
        <w:t>,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C6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разматрати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вршити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оцјењивање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основу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сљедећих</w:t>
      </w:r>
      <w:r w:rsidR="00FC6530" w:rsidRPr="00E67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критерија</w:t>
      </w:r>
      <w:r w:rsidR="00FC6530" w:rsidRPr="00E67F50">
        <w:rPr>
          <w:rFonts w:ascii="Arial" w:hAnsi="Arial" w:cs="Arial"/>
          <w:sz w:val="22"/>
          <w:szCs w:val="22"/>
        </w:rPr>
        <w:t>:</w:t>
      </w:r>
    </w:p>
    <w:p w:rsidR="00FC6530" w:rsidRPr="00E67F50" w:rsidRDefault="00FC6530" w:rsidP="00FC6530">
      <w:pPr>
        <w:jc w:val="both"/>
        <w:rPr>
          <w:rFonts w:ascii="Arial" w:hAnsi="Arial" w:cs="Arial"/>
          <w:sz w:val="22"/>
          <w:szCs w:val="22"/>
        </w:rPr>
      </w:pPr>
    </w:p>
    <w:p w:rsidR="00FC6530" w:rsidRPr="000427CB" w:rsidRDefault="00FC6530" w:rsidP="000427CB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0427CB">
        <w:rPr>
          <w:rFonts w:ascii="Arial" w:hAnsi="Arial" w:cs="Arial"/>
          <w:b/>
          <w:sz w:val="22"/>
          <w:szCs w:val="22"/>
          <w:lang w:val="hr-BA"/>
        </w:rPr>
        <w:t>„</w:t>
      </w:r>
      <w:r w:rsidR="000427CB" w:rsidRPr="000427CB">
        <w:rPr>
          <w:rFonts w:ascii="Arial" w:hAnsi="Arial" w:cs="Arial"/>
          <w:b/>
          <w:sz w:val="22"/>
          <w:szCs w:val="22"/>
          <w:lang w:val="hr-BA"/>
        </w:rPr>
        <w:t>Подршка пројектима побољшања инклузивности предшколског и основног образовања</w:t>
      </w:r>
      <w:r w:rsidRPr="000427CB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FC6530" w:rsidRDefault="00FC6530" w:rsidP="00FC6530">
      <w:pPr>
        <w:jc w:val="both"/>
        <w:rPr>
          <w:rFonts w:ascii="Arial" w:eastAsia="+mj-ea" w:hAnsi="Arial" w:cs="Arial"/>
          <w:bCs/>
          <w:sz w:val="22"/>
          <w:szCs w:val="22"/>
          <w:lang w:val="hr-BA"/>
        </w:rPr>
      </w:pP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0427CB">
        <w:rPr>
          <w:rFonts w:ascii="Arial" w:hAnsi="Arial" w:cs="Arial"/>
          <w:sz w:val="22"/>
          <w:szCs w:val="22"/>
          <w:lang w:val="hr-BA"/>
        </w:rPr>
        <w:t>Програм је намијењен подршци пројектима који имају за циљ побољшање укључености и услова образовања у предшколским установама и јавним основним школама за сљедеће групе дјеце с посебним образовним потребама: дјеца са потешкоћама у развоју, дјеца која живе у удаљеним руралним срединама, ученици с недовољним познавањем једног од језика конститутивних народа у БиХ (дјеца БиХ држављана која су живјела дуже вријеме у иностранству и дјеца страних држављана која похађају основно образовање у Федерацији БиХ).</w:t>
      </w: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0427CB">
        <w:rPr>
          <w:rFonts w:ascii="Arial" w:hAnsi="Arial" w:cs="Arial"/>
          <w:b/>
          <w:sz w:val="22"/>
          <w:szCs w:val="22"/>
          <w:lang w:val="hr-BA"/>
        </w:rPr>
        <w:t>Критерији за расподјелу средстава: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Квалитет понуђеног пројекта побољшања инклузивности предшколског и основног образовања са аспекта методологије израде, односно јасно дефинисаних циљева и метода провођења пројектних активности;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Прецизно дефинисане циљне групе и број корисника пројекта;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 xml:space="preserve">Достигнути ниво или афирмација индивидуалног приступа сваком дјетету у складу са његовим потребама и могућностима; 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Квалитет садржаја пројекта, односно детаљно образложење потребе за реализацијом пројекта са аспекта предвиђених одгојно-образовних и социјалних учинака;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Повезаност предложеног пројекта и програма са претходним активностима, односно постигнути резултати у претходном периоду;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 xml:space="preserve">Уколико је </w:t>
      </w:r>
      <w:r w:rsidRPr="000427CB">
        <w:rPr>
          <w:rFonts w:ascii="Arial" w:eastAsia="Calibri" w:hAnsi="Arial" w:cs="Arial"/>
          <w:i/>
          <w:sz w:val="22"/>
          <w:szCs w:val="22"/>
          <w:lang w:val="hr-BA" w:eastAsia="en-US"/>
        </w:rPr>
        <w:t xml:space="preserve">апликант </w:t>
      </w: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 xml:space="preserve">невладина организација, дужна је доставити сагласност одгојно-образовне установе о провођењу пројекта у истој; 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Детаљно разрађен буџет са јасно наведеним изворима финансирања (властита средства, донација, средства из буџета Федерације БиХ, средства из буџета јединица локалне самоуправе и друга средства). Све ставке у буџету релевантне за реализацију одгојно-образовних активности наведених у пројектном приједлогу;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>Код пројеката едукације наставника, предност приликом одабира дати оним пројектима који имају за циљ развој практичних вјештина за рад са ученицима с посебним потребама;</w:t>
      </w:r>
    </w:p>
    <w:p w:rsidR="000427CB" w:rsidRPr="000427CB" w:rsidRDefault="000427CB" w:rsidP="000427CB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0427CB">
        <w:rPr>
          <w:rFonts w:ascii="Arial" w:eastAsia="Calibri" w:hAnsi="Arial" w:cs="Arial"/>
          <w:sz w:val="22"/>
          <w:szCs w:val="22"/>
          <w:lang w:val="hr-BA" w:eastAsia="en-US"/>
        </w:rPr>
        <w:t xml:space="preserve">Код пројеката који укључују ангажовање асистената у настави, предност ће се дати пројектима који предвиђају ангажовање квалификованог кадра за рад са дјецом с потешкоћама у развоју и предвиђају начине за одрживост пројекта. </w:t>
      </w: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0427CB">
        <w:rPr>
          <w:rFonts w:ascii="Arial" w:hAnsi="Arial" w:cs="Arial"/>
          <w:sz w:val="22"/>
          <w:szCs w:val="22"/>
          <w:lang w:val="hr-BA"/>
        </w:rPr>
        <w:t>Подршка пројектима побољшања инклузивности предшколског и основног образовања планира се реализовати кроз подршку предшколским установама, јавним основним школама и невладиним организацијама које реализују пројекат у сарадњи са одгојно-образовним установама, подршку набавци савремених дидактичких средстава или одговарајуће стручне литературе за наставнике те подстицај едукацији наставника и стручних сарадника у одгојно-образовним установама, ангажовању асистената у настави за подршку ученицима са потешкоћама у развоју, организацији допунске наставе и др.</w:t>
      </w:r>
    </w:p>
    <w:p w:rsid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0427CB">
        <w:rPr>
          <w:rFonts w:ascii="Arial" w:hAnsi="Arial" w:cs="Arial"/>
          <w:sz w:val="22"/>
          <w:szCs w:val="22"/>
          <w:lang w:val="hr-BA"/>
        </w:rPr>
        <w:t xml:space="preserve">Пројекти које одобри Федерално министарство образовања и науке </w:t>
      </w:r>
      <w:r w:rsidR="001C032F">
        <w:rPr>
          <w:rFonts w:ascii="Arial" w:hAnsi="Arial" w:cs="Arial"/>
          <w:sz w:val="22"/>
          <w:szCs w:val="22"/>
          <w:lang w:val="hr-BA"/>
        </w:rPr>
        <w:t>би</w:t>
      </w:r>
      <w:r w:rsidRPr="000427CB">
        <w:rPr>
          <w:rFonts w:ascii="Arial" w:hAnsi="Arial" w:cs="Arial"/>
          <w:sz w:val="22"/>
          <w:szCs w:val="22"/>
          <w:lang w:val="hr-BA"/>
        </w:rPr>
        <w:t>ће подржани у максималној вриједности до 7.000,00 КМ.</w:t>
      </w:r>
    </w:p>
    <w:p w:rsidR="00C464AF" w:rsidRDefault="00C464AF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8A11D1" w:rsidRDefault="008A11D1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8A11D1" w:rsidRPr="000427CB" w:rsidRDefault="008A11D1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0427CB" w:rsidRPr="000427CB" w:rsidRDefault="000427CB" w:rsidP="000427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392B49" w:rsidRPr="000427CB" w:rsidRDefault="00392B49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392B49" w:rsidRPr="000427CB" w:rsidRDefault="00392B49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392B49" w:rsidRDefault="00392B49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FC6530" w:rsidRDefault="00FC6530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C464AF" w:rsidRDefault="00FC6530" w:rsidP="00C464A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FC6530">
        <w:rPr>
          <w:rFonts w:ascii="Arial" w:hAnsi="Arial" w:cs="Arial"/>
          <w:b/>
          <w:sz w:val="22"/>
          <w:szCs w:val="22"/>
          <w:lang w:val="hr-BA"/>
        </w:rPr>
        <w:t>„</w:t>
      </w:r>
      <w:r w:rsidR="00C464AF" w:rsidRPr="00C464AF">
        <w:rPr>
          <w:rFonts w:ascii="Arial" w:hAnsi="Arial" w:cs="Arial"/>
          <w:b/>
          <w:sz w:val="22"/>
          <w:szCs w:val="22"/>
          <w:lang w:val="hr-BA"/>
        </w:rPr>
        <w:t>Подршка стручном усавршавању и цјеложивотном учењу просвјетних радника у предшколском, основном и средњем образовању</w:t>
      </w:r>
      <w:r w:rsidRPr="00C464AF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FC6530" w:rsidRDefault="00FC6530" w:rsidP="00FC6530">
      <w:pPr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633580" w:rsidRPr="00633580" w:rsidRDefault="00633580" w:rsidP="006335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633580">
        <w:rPr>
          <w:rFonts w:ascii="Arial" w:hAnsi="Arial" w:cs="Arial"/>
          <w:sz w:val="22"/>
          <w:szCs w:val="22"/>
          <w:lang w:val="hr-BA"/>
        </w:rPr>
        <w:t xml:space="preserve">Сврха програма јесте </w:t>
      </w:r>
      <w:r w:rsidRPr="006D3963">
        <w:rPr>
          <w:rFonts w:ascii="Arial" w:hAnsi="Arial" w:cs="Arial"/>
          <w:sz w:val="22"/>
          <w:szCs w:val="22"/>
          <w:lang w:val="hr-BA"/>
        </w:rPr>
        <w:t>унапр</w:t>
      </w:r>
      <w:r w:rsidRPr="00633580">
        <w:rPr>
          <w:rFonts w:ascii="Arial" w:hAnsi="Arial" w:cs="Arial"/>
          <w:sz w:val="22"/>
          <w:szCs w:val="22"/>
          <w:lang w:val="hr-BA"/>
        </w:rPr>
        <w:t>еђење компетенција просвјетних радника у предшколском, основном и средњем образовању за одгојно-образовни рад усмјерен на развој кључних компетенција код дјеце и ученика, као и реализацију наставних планова и програма базираних на исходима учења.</w:t>
      </w:r>
    </w:p>
    <w:p w:rsidR="00633580" w:rsidRPr="00633580" w:rsidRDefault="00633580" w:rsidP="006335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hr-BA"/>
        </w:rPr>
      </w:pPr>
    </w:p>
    <w:p w:rsidR="00633580" w:rsidRPr="00633580" w:rsidRDefault="00633580" w:rsidP="00633580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BA"/>
        </w:rPr>
      </w:pPr>
      <w:r w:rsidRPr="00633580">
        <w:rPr>
          <w:rFonts w:ascii="Arial" w:hAnsi="Arial" w:cs="Arial"/>
          <w:b/>
          <w:sz w:val="22"/>
          <w:szCs w:val="22"/>
          <w:lang w:val="hr-BA"/>
        </w:rPr>
        <w:t>Критерији за расподјелу средстава: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Квалитет понуђеног програма стручног усавршавања просвјетних радника са аспекта методологије израде, односно јасно дефинисаних циљева и метода провођења програмских активности;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Детаљно образложење начина на који ће реализација програма допринијети повећању квалитета одгојно-образовног рада у предшколским установама, основним или средњим школама;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Релевантност програма стручног усавршавања за реформу предшколског, основног и средњег образовања која се проводи у БиХ;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Прецизно дефинисане циљне групе и број корисника пројекта;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Повезаност предложеног програма са претходним активностима, односно постигнути резултати у претходном периоду;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Детаљно разрађен буџет са јасно наведеним изворима финансирања (властита средства, донација, средства из буџета Федерације БиХ, средства из буџета јединица локалне самоуправе и друга средства);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Приоритет приликом одабира ће се дати програмима стручног усавршавања просвјетних радника за превентиван одгојно-образовни рад с ученицима у сврху спречавања вршњачког насиља;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Предност приликом одабира ће се дати програмима стручног усавршавања просвјетних радника који су одрживи и примјењиви у одгојно-образовној пракси.</w:t>
      </w:r>
    </w:p>
    <w:p w:rsidR="00633580" w:rsidRPr="00633580" w:rsidRDefault="00633580" w:rsidP="00633580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633580">
        <w:rPr>
          <w:rFonts w:ascii="Arial" w:eastAsia="Calibri" w:hAnsi="Arial" w:cs="Arial"/>
          <w:sz w:val="22"/>
          <w:szCs w:val="22"/>
          <w:lang w:val="hr-BA" w:eastAsia="en-US"/>
        </w:rPr>
        <w:t>У предложени програм стручног усавршавања просвјетних радника је потребно укључити просвјетног радника који је у 2015. години био номинован испред датог кантона као најбољи просвјетни радник за школску 2014/15. годину у оквиру обиљежавања Дана наставника (5. 10. 2015. године), које је организовало Федерално министарство образовања и науке.</w:t>
      </w:r>
    </w:p>
    <w:p w:rsidR="00633580" w:rsidRPr="00633580" w:rsidRDefault="00633580" w:rsidP="00633580">
      <w:pPr>
        <w:ind w:left="357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</w:p>
    <w:p w:rsidR="00633580" w:rsidRPr="00633580" w:rsidRDefault="00633580" w:rsidP="006335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633580">
        <w:rPr>
          <w:rFonts w:ascii="Arial" w:hAnsi="Arial" w:cs="Arial"/>
          <w:sz w:val="22"/>
          <w:szCs w:val="22"/>
          <w:lang w:val="hr-BA"/>
        </w:rPr>
        <w:t>Подршка програмима стручног усавршавања просвјетних радника планира се реализовати кроз подршку предшколским установама, јавним основним и средњим школама, институтима, удружењима просвјетних радника, педагошким заводима и невладиним организацијама, који ће реализовати програм стручног усавршавања просвјетних радника.</w:t>
      </w:r>
    </w:p>
    <w:p w:rsidR="00633580" w:rsidRPr="00633580" w:rsidRDefault="00633580" w:rsidP="006335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633580" w:rsidRPr="00633580" w:rsidRDefault="00633580" w:rsidP="006335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633580">
        <w:rPr>
          <w:rFonts w:ascii="Arial" w:hAnsi="Arial" w:cs="Arial"/>
          <w:sz w:val="22"/>
          <w:szCs w:val="22"/>
          <w:lang w:val="hr-BA"/>
        </w:rPr>
        <w:t xml:space="preserve">Програми стручног усавршавања просвјетних радника које одобри Федерално министарство образовања и науке </w:t>
      </w:r>
      <w:r w:rsidR="006D3963" w:rsidRPr="006D3963">
        <w:rPr>
          <w:rFonts w:ascii="Arial" w:hAnsi="Arial" w:cs="Arial"/>
          <w:sz w:val="22"/>
          <w:szCs w:val="22"/>
          <w:lang w:val="hr-BA"/>
        </w:rPr>
        <w:t>би</w:t>
      </w:r>
      <w:r w:rsidRPr="00633580">
        <w:rPr>
          <w:rFonts w:ascii="Arial" w:hAnsi="Arial" w:cs="Arial"/>
          <w:sz w:val="22"/>
          <w:szCs w:val="22"/>
          <w:lang w:val="hr-BA"/>
        </w:rPr>
        <w:t>ће подржани у максималној вриједности до 7.000,00 КМ.</w:t>
      </w:r>
    </w:p>
    <w:p w:rsidR="00616610" w:rsidRDefault="00616610" w:rsidP="008A11D1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:rsidR="008A11D1" w:rsidRDefault="008A11D1" w:rsidP="008A11D1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:rsidR="008A11D1" w:rsidRPr="006D3963" w:rsidRDefault="008A11D1" w:rsidP="008A11D1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:rsidR="00616610" w:rsidRPr="009204B7" w:rsidRDefault="00273D36" w:rsidP="00616610">
      <w:pPr>
        <w:pStyle w:val="Default"/>
        <w:jc w:val="center"/>
        <w:rPr>
          <w:rFonts w:ascii="Arial" w:hAnsi="Arial" w:cs="Arial"/>
          <w:color w:val="auto"/>
        </w:rPr>
      </w:pPr>
      <w:r w:rsidRPr="009204B7">
        <w:rPr>
          <w:rFonts w:ascii="Arial" w:hAnsi="Arial" w:cs="Arial"/>
          <w:b/>
          <w:color w:val="auto"/>
        </w:rPr>
        <w:t>Крајњи</w:t>
      </w:r>
      <w:r w:rsidR="00616610" w:rsidRPr="009204B7">
        <w:rPr>
          <w:rFonts w:ascii="Arial" w:hAnsi="Arial" w:cs="Arial"/>
          <w:b/>
          <w:color w:val="auto"/>
        </w:rPr>
        <w:t xml:space="preserve"> </w:t>
      </w:r>
      <w:r w:rsidRPr="009204B7">
        <w:rPr>
          <w:rFonts w:ascii="Arial" w:hAnsi="Arial" w:cs="Arial"/>
          <w:b/>
          <w:color w:val="auto"/>
        </w:rPr>
        <w:t>рок</w:t>
      </w:r>
      <w:r w:rsidR="00616610" w:rsidRPr="009204B7">
        <w:rPr>
          <w:rFonts w:ascii="Arial" w:hAnsi="Arial" w:cs="Arial"/>
          <w:b/>
          <w:color w:val="auto"/>
        </w:rPr>
        <w:t xml:space="preserve"> </w:t>
      </w:r>
      <w:r w:rsidRPr="009204B7">
        <w:rPr>
          <w:rFonts w:ascii="Arial" w:hAnsi="Arial" w:cs="Arial"/>
          <w:b/>
          <w:color w:val="auto"/>
        </w:rPr>
        <w:t>за</w:t>
      </w:r>
      <w:r w:rsidR="00616610" w:rsidRPr="009204B7">
        <w:rPr>
          <w:rFonts w:ascii="Arial" w:hAnsi="Arial" w:cs="Arial"/>
          <w:b/>
          <w:color w:val="auto"/>
        </w:rPr>
        <w:t xml:space="preserve"> </w:t>
      </w:r>
      <w:r w:rsidRPr="009204B7">
        <w:rPr>
          <w:rFonts w:ascii="Arial" w:hAnsi="Arial" w:cs="Arial"/>
          <w:b/>
          <w:color w:val="auto"/>
        </w:rPr>
        <w:t>достављање</w:t>
      </w:r>
      <w:r w:rsidR="00616610" w:rsidRPr="009204B7">
        <w:rPr>
          <w:rFonts w:ascii="Arial" w:hAnsi="Arial" w:cs="Arial"/>
          <w:b/>
          <w:color w:val="auto"/>
        </w:rPr>
        <w:t xml:space="preserve"> </w:t>
      </w:r>
      <w:r w:rsidRPr="009204B7">
        <w:rPr>
          <w:rFonts w:ascii="Arial" w:hAnsi="Arial" w:cs="Arial"/>
          <w:b/>
          <w:color w:val="auto"/>
        </w:rPr>
        <w:t>пријава</w:t>
      </w:r>
      <w:r w:rsidR="00616610" w:rsidRPr="009204B7">
        <w:rPr>
          <w:rFonts w:ascii="Arial" w:hAnsi="Arial" w:cs="Arial"/>
          <w:b/>
          <w:color w:val="auto"/>
        </w:rPr>
        <w:t xml:space="preserve">  </w:t>
      </w:r>
      <w:r w:rsidRPr="009204B7">
        <w:rPr>
          <w:rFonts w:ascii="Arial" w:hAnsi="Arial" w:cs="Arial"/>
          <w:b/>
          <w:color w:val="auto"/>
        </w:rPr>
        <w:t>је</w:t>
      </w:r>
      <w:r w:rsidR="00616610" w:rsidRPr="009204B7">
        <w:rPr>
          <w:rFonts w:ascii="Arial" w:hAnsi="Arial" w:cs="Arial"/>
          <w:color w:val="auto"/>
        </w:rPr>
        <w:t xml:space="preserve">  </w:t>
      </w:r>
      <w:r w:rsidR="009204B7" w:rsidRPr="00906731">
        <w:rPr>
          <w:rFonts w:ascii="Arial" w:hAnsi="Arial" w:cs="Arial"/>
          <w:b/>
          <w:color w:val="auto"/>
        </w:rPr>
        <w:t>14.</w:t>
      </w:r>
      <w:r w:rsidR="009204B7" w:rsidRPr="009204B7">
        <w:rPr>
          <w:rFonts w:ascii="Arial" w:hAnsi="Arial" w:cs="Arial"/>
          <w:b/>
          <w:color w:val="auto"/>
        </w:rPr>
        <w:t xml:space="preserve"> 1</w:t>
      </w:r>
      <w:r w:rsidR="00616610" w:rsidRPr="009204B7">
        <w:rPr>
          <w:rFonts w:ascii="Arial" w:hAnsi="Arial" w:cs="Arial"/>
          <w:b/>
          <w:color w:val="auto"/>
        </w:rPr>
        <w:t xml:space="preserve">0. 2016. </w:t>
      </w:r>
      <w:r w:rsidRPr="009204B7">
        <w:rPr>
          <w:rFonts w:ascii="Arial" w:hAnsi="Arial" w:cs="Arial"/>
          <w:b/>
          <w:color w:val="auto"/>
        </w:rPr>
        <w:t>године</w:t>
      </w:r>
      <w:r w:rsidR="00616610" w:rsidRPr="009204B7">
        <w:rPr>
          <w:rFonts w:ascii="Arial" w:hAnsi="Arial" w:cs="Arial"/>
          <w:b/>
          <w:color w:val="auto"/>
        </w:rPr>
        <w:t>.</w:t>
      </w:r>
    </w:p>
    <w:p w:rsidR="00616610" w:rsidRDefault="00616610" w:rsidP="00616610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616610" w:rsidRDefault="00273D36" w:rsidP="00616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Апликације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подносилаца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захтјева</w:t>
      </w:r>
      <w:r w:rsidR="00D27DB0">
        <w:rPr>
          <w:rFonts w:ascii="Arial" w:hAnsi="Arial" w:cs="Arial"/>
          <w:b/>
          <w:color w:val="auto"/>
          <w:sz w:val="22"/>
          <w:szCs w:val="22"/>
        </w:rPr>
        <w:t>,</w:t>
      </w:r>
      <w:r w:rsidR="00F538E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који</w:t>
      </w:r>
      <w:r w:rsidR="00F538E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не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доставе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све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тражене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документе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наведене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у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тексту</w:t>
      </w:r>
      <w:r w:rsidR="00D02A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захтјева</w:t>
      </w:r>
      <w:r w:rsidR="00D27DB0">
        <w:rPr>
          <w:rFonts w:ascii="Arial" w:hAnsi="Arial" w:cs="Arial"/>
          <w:b/>
          <w:color w:val="auto"/>
          <w:sz w:val="22"/>
          <w:szCs w:val="22"/>
        </w:rPr>
        <w:t>,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неће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бити</w:t>
      </w:r>
      <w:r w:rsidR="00616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разматране</w:t>
      </w:r>
      <w:r w:rsidR="00616610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6610" w:rsidRPr="00616610" w:rsidRDefault="00273D36" w:rsidP="006166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Пријаве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Финансијски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неће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бити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8A11D1" w:rsidRDefault="008A11D1" w:rsidP="00616610">
      <w:pPr>
        <w:pStyle w:val="BodyText2"/>
        <w:spacing w:line="360" w:lineRule="auto"/>
        <w:rPr>
          <w:i w:val="0"/>
          <w:sz w:val="22"/>
          <w:szCs w:val="22"/>
        </w:rPr>
      </w:pPr>
    </w:p>
    <w:p w:rsidR="004632C5" w:rsidRDefault="004632C5" w:rsidP="00EA225B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У наставку текста је Евиденција корисника који нису доставили Извјештај о намјенском утрошку додијељених средстава у претходном периоду искључујући 2014. годину.</w:t>
      </w:r>
    </w:p>
    <w:p w:rsidR="004632C5" w:rsidRDefault="004632C5" w:rsidP="004632C5">
      <w:pPr>
        <w:pStyle w:val="BodyText2"/>
        <w:rPr>
          <w:i w:val="0"/>
          <w:sz w:val="22"/>
          <w:szCs w:val="22"/>
        </w:rPr>
      </w:pPr>
    </w:p>
    <w:p w:rsidR="004632C5" w:rsidRDefault="004632C5" w:rsidP="004632C5">
      <w:pPr>
        <w:pStyle w:val="BodyText2"/>
        <w:rPr>
          <w:i w:val="0"/>
          <w:sz w:val="22"/>
          <w:szCs w:val="22"/>
        </w:rPr>
      </w:pPr>
    </w:p>
    <w:p w:rsidR="004632C5" w:rsidRDefault="004632C5" w:rsidP="004632C5">
      <w:pPr>
        <w:pStyle w:val="BodyText2"/>
        <w:rPr>
          <w:i w:val="0"/>
          <w:sz w:val="22"/>
          <w:szCs w:val="22"/>
        </w:rPr>
      </w:pPr>
    </w:p>
    <w:p w:rsidR="004632C5" w:rsidRDefault="004632C5" w:rsidP="004632C5">
      <w:pPr>
        <w:pStyle w:val="BodyText"/>
        <w:rPr>
          <w:rFonts w:cs="Arial"/>
          <w:b/>
          <w:lang w:val="pl-PL"/>
        </w:rPr>
      </w:pPr>
      <w:r>
        <w:rPr>
          <w:rFonts w:cs="Arial"/>
          <w:b/>
          <w:bCs/>
          <w:lang w:val="pl-PL"/>
        </w:rPr>
        <w:t xml:space="preserve">         ЕВИДЕНЦИЈА КОРИСНИКА КОЈИ НИСУ ДОСТАВИЛИ </w:t>
      </w:r>
      <w:r>
        <w:rPr>
          <w:rFonts w:cs="Arial"/>
          <w:b/>
          <w:lang w:val="pl-PL"/>
        </w:rPr>
        <w:t>ИЗВЈЕ</w:t>
      </w:r>
      <w:r>
        <w:rPr>
          <w:rFonts w:cs="Arial"/>
          <w:b/>
        </w:rPr>
        <w:t>Ш</w:t>
      </w:r>
      <w:r>
        <w:rPr>
          <w:rFonts w:cs="Arial"/>
          <w:b/>
          <w:lang w:val="pl-PL"/>
        </w:rPr>
        <w:t>ТАЈ О РЕАЛИЗАЦИЈИ УТРО</w:t>
      </w:r>
      <w:r>
        <w:rPr>
          <w:rFonts w:cs="Arial"/>
          <w:b/>
        </w:rPr>
        <w:t>Ш</w:t>
      </w:r>
      <w:r>
        <w:rPr>
          <w:rFonts w:cs="Arial"/>
          <w:b/>
          <w:lang w:val="pl-PL"/>
        </w:rPr>
        <w:t xml:space="preserve">КА СРЕДСТАВА ТРАНСФЕРА ЗА ФИНАНСИРАЊЕ ОБРАЗОВАЊА  </w:t>
      </w:r>
    </w:p>
    <w:p w:rsidR="004632C5" w:rsidRDefault="004632C5" w:rsidP="004632C5">
      <w:pPr>
        <w:spacing w:line="360" w:lineRule="auto"/>
        <w:jc w:val="both"/>
        <w:rPr>
          <w:lang w:val="pl-PL"/>
        </w:rPr>
      </w:pPr>
    </w:p>
    <w:tbl>
      <w:tblPr>
        <w:tblW w:w="943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7"/>
        <w:gridCol w:w="3411"/>
        <w:gridCol w:w="1348"/>
      </w:tblGrid>
      <w:tr w:rsidR="004632C5" w:rsidTr="004632C5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Ред. број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Корисник средстава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Назив пројекта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4632C5" w:rsidRDefault="004632C5">
            <w:pPr>
              <w:pStyle w:val="Heading1"/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Удружење грађана "Принцес крофне" Сарајево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„Концертна активност-међународна сарадња“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Удружење "Наша младост-Амаро тернипе" Сарајево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spacing w:after="200" w:line="276" w:lineRule="auto"/>
              <w:rPr>
                <w:rFonts w:ascii="Arial" w:eastAsiaTheme="minorHAnsi" w:hAnsi="Arial" w:cs="Arial"/>
                <w:sz w:val="21"/>
                <w:szCs w:val="21"/>
                <w:lang w:val="bs-Latn-BA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bs-Latn-BA" w:eastAsia="en-US"/>
              </w:rPr>
              <w:t>Усмјеравање ромске омладине - „Пороци лажна љепота"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3.500,00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Ромска издавачка кућа "Романо Лил" Зеница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„Подршка издавању сликовница“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3.500,00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Удружење Рома "Неретва“ Мостар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дјеце и дошколовању омладине ромске националности на ХНК/ХНЖ“ Мостар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3.500,00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Удружење Рома "Ирисива Јасење" Теочак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spacing w:after="100" w:afterAutospacing="1" w:line="276" w:lineRule="auto"/>
              <w:jc w:val="center"/>
              <w:rPr>
                <w:rFonts w:ascii="Arial" w:eastAsiaTheme="minorHAnsi" w:hAnsi="Arial" w:cs="Arial"/>
                <w:sz w:val="21"/>
                <w:szCs w:val="21"/>
                <w:lang w:val="bs-Latn-BA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bs-Latn-BA" w:eastAsia="en-US"/>
              </w:rPr>
              <w:t>„Кроз јачање капацитета ромске дјеце бржа инклузија у школски систем“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3.500,00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Удруга писаца "Широки погледи у БиХ” Широки Бријег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„Суфинанцирање часописа за основно образовање”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2.600,00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Центар за афирмацију, едукацију и промоцију позитвних вриједности „Мотив” Градачац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"Унапређење основног образовања Рома“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Организација за афирмацију и промоцију позитивних вриједности”Глобал” Тузла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„Помоћ у основном образовању Рома на подручју Опћине Тузла”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3.000,00</w:t>
            </w:r>
          </w:p>
        </w:tc>
      </w:tr>
      <w:tr w:rsidR="004632C5" w:rsidTr="004632C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Одбојкашки клуб „Маглај“ Маглај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Организација Федералног првенства основних школа у одбојци за дјевојчице и дјечаке”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3.000,00</w:t>
            </w:r>
          </w:p>
        </w:tc>
      </w:tr>
      <w:tr w:rsidR="004632C5" w:rsidTr="004632C5">
        <w:trPr>
          <w:trHeight w:val="427"/>
          <w:jc w:val="center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                                 УКУПНО:                                                                                                        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4632C5" w:rsidRDefault="004632C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30.600,00</w:t>
            </w:r>
          </w:p>
        </w:tc>
      </w:tr>
    </w:tbl>
    <w:p w:rsidR="008A11D1" w:rsidRDefault="008A11D1" w:rsidP="00616610">
      <w:pPr>
        <w:pStyle w:val="BodyText2"/>
        <w:spacing w:line="360" w:lineRule="auto"/>
        <w:rPr>
          <w:i w:val="0"/>
          <w:sz w:val="22"/>
          <w:szCs w:val="22"/>
        </w:rPr>
      </w:pPr>
    </w:p>
    <w:p w:rsidR="00616610" w:rsidRPr="008A11D1" w:rsidRDefault="00273D36" w:rsidP="00616610">
      <w:pPr>
        <w:pStyle w:val="BodyText2"/>
        <w:spacing w:line="360" w:lineRule="auto"/>
        <w:rPr>
          <w:i w:val="0"/>
          <w:sz w:val="22"/>
          <w:szCs w:val="22"/>
        </w:rPr>
      </w:pPr>
      <w:r w:rsidRPr="008A11D1">
        <w:rPr>
          <w:i w:val="0"/>
          <w:sz w:val="22"/>
          <w:szCs w:val="22"/>
        </w:rPr>
        <w:t>Пријаве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наведених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подносилаца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захтјева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који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су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претходном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периоду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добили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средства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од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Федералног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министарства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образовања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науке</w:t>
      </w:r>
      <w:r w:rsidR="00616610" w:rsidRPr="008A11D1">
        <w:rPr>
          <w:i w:val="0"/>
          <w:sz w:val="22"/>
          <w:szCs w:val="22"/>
        </w:rPr>
        <w:t xml:space="preserve">, </w:t>
      </w:r>
      <w:r w:rsidRPr="008A11D1">
        <w:rPr>
          <w:i w:val="0"/>
          <w:sz w:val="22"/>
          <w:szCs w:val="22"/>
        </w:rPr>
        <w:t>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нису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доставили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Финансијски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извјештај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о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намјенском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утрошку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додијељених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средстава</w:t>
      </w:r>
      <w:r w:rsidR="00616610" w:rsidRPr="008A11D1">
        <w:rPr>
          <w:i w:val="0"/>
          <w:sz w:val="22"/>
          <w:szCs w:val="22"/>
        </w:rPr>
        <w:t xml:space="preserve">, </w:t>
      </w:r>
      <w:r w:rsidRPr="008A11D1">
        <w:rPr>
          <w:i w:val="0"/>
          <w:sz w:val="22"/>
          <w:szCs w:val="22"/>
        </w:rPr>
        <w:t>биће</w:t>
      </w:r>
      <w:r w:rsidR="00216DE5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разматране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само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уколико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најкасније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истека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овог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Јавног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позива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буду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доставили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Извјештај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о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намјенском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утрошку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добивених</w:t>
      </w:r>
      <w:r w:rsidR="00616610" w:rsidRPr="008A11D1">
        <w:rPr>
          <w:i w:val="0"/>
          <w:sz w:val="22"/>
          <w:szCs w:val="22"/>
        </w:rPr>
        <w:t xml:space="preserve"> </w:t>
      </w:r>
      <w:r w:rsidRPr="008A11D1">
        <w:rPr>
          <w:i w:val="0"/>
          <w:sz w:val="22"/>
          <w:szCs w:val="22"/>
        </w:rPr>
        <w:t>средстава</w:t>
      </w:r>
      <w:r w:rsidR="00616610" w:rsidRPr="008A11D1">
        <w:rPr>
          <w:i w:val="0"/>
          <w:sz w:val="22"/>
          <w:szCs w:val="22"/>
        </w:rPr>
        <w:t xml:space="preserve">. </w:t>
      </w:r>
    </w:p>
    <w:p w:rsidR="00616610" w:rsidRDefault="00616610" w:rsidP="00616610">
      <w:pPr>
        <w:spacing w:line="360" w:lineRule="auto"/>
        <w:rPr>
          <w:rFonts w:ascii="Arial" w:hAnsi="Arial" w:cs="Arial"/>
          <w:b/>
          <w:bCs/>
        </w:rPr>
        <w:sectPr w:rsidR="00616610" w:rsidSect="006101AA">
          <w:pgSz w:w="11906" w:h="16838"/>
          <w:pgMar w:top="540" w:right="1417" w:bottom="630" w:left="1417" w:header="708" w:footer="708" w:gutter="0"/>
          <w:pgNumType w:start="1"/>
          <w:cols w:space="720"/>
        </w:sectPr>
      </w:pPr>
    </w:p>
    <w:p w:rsidR="00FC6530" w:rsidRPr="00FC6530" w:rsidRDefault="00FC6530" w:rsidP="008A11D1">
      <w:pPr>
        <w:rPr>
          <w:sz w:val="22"/>
          <w:szCs w:val="22"/>
        </w:rPr>
      </w:pPr>
    </w:p>
    <w:sectPr w:rsidR="00FC6530" w:rsidRPr="00FC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6473EA"/>
    <w:multiLevelType w:val="hybridMultilevel"/>
    <w:tmpl w:val="EADA5668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0332C"/>
    <w:multiLevelType w:val="hybridMultilevel"/>
    <w:tmpl w:val="74A07E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D6ADF"/>
    <w:multiLevelType w:val="hybridMultilevel"/>
    <w:tmpl w:val="69DE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668F9"/>
    <w:multiLevelType w:val="hybridMultilevel"/>
    <w:tmpl w:val="64A0ABE8"/>
    <w:lvl w:ilvl="0" w:tplc="5806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29"/>
    <w:rsid w:val="000032CD"/>
    <w:rsid w:val="000427CB"/>
    <w:rsid w:val="000862CB"/>
    <w:rsid w:val="000953D1"/>
    <w:rsid w:val="000E4530"/>
    <w:rsid w:val="001013CE"/>
    <w:rsid w:val="001058DD"/>
    <w:rsid w:val="00141748"/>
    <w:rsid w:val="001627BD"/>
    <w:rsid w:val="00181867"/>
    <w:rsid w:val="001B3D18"/>
    <w:rsid w:val="001C032F"/>
    <w:rsid w:val="001C3827"/>
    <w:rsid w:val="001E37EE"/>
    <w:rsid w:val="00200C14"/>
    <w:rsid w:val="00211B8E"/>
    <w:rsid w:val="00216DE5"/>
    <w:rsid w:val="00237B5A"/>
    <w:rsid w:val="00242427"/>
    <w:rsid w:val="00273D36"/>
    <w:rsid w:val="0027473C"/>
    <w:rsid w:val="00283540"/>
    <w:rsid w:val="002B1A20"/>
    <w:rsid w:val="002B2168"/>
    <w:rsid w:val="002C1F46"/>
    <w:rsid w:val="002C3AB1"/>
    <w:rsid w:val="002F2268"/>
    <w:rsid w:val="003005D9"/>
    <w:rsid w:val="0031191C"/>
    <w:rsid w:val="00315939"/>
    <w:rsid w:val="00392B49"/>
    <w:rsid w:val="003C62E1"/>
    <w:rsid w:val="00450505"/>
    <w:rsid w:val="00461846"/>
    <w:rsid w:val="004632C5"/>
    <w:rsid w:val="00492461"/>
    <w:rsid w:val="004A7A21"/>
    <w:rsid w:val="004B02F8"/>
    <w:rsid w:val="004D206B"/>
    <w:rsid w:val="004F66DD"/>
    <w:rsid w:val="0050427A"/>
    <w:rsid w:val="0052258F"/>
    <w:rsid w:val="0055655C"/>
    <w:rsid w:val="00556D10"/>
    <w:rsid w:val="00592730"/>
    <w:rsid w:val="005C0D77"/>
    <w:rsid w:val="005C37AA"/>
    <w:rsid w:val="006101AA"/>
    <w:rsid w:val="00616610"/>
    <w:rsid w:val="0062437E"/>
    <w:rsid w:val="0062760C"/>
    <w:rsid w:val="00633580"/>
    <w:rsid w:val="00684EC5"/>
    <w:rsid w:val="0068797B"/>
    <w:rsid w:val="006B09F6"/>
    <w:rsid w:val="006D3963"/>
    <w:rsid w:val="006F0F4C"/>
    <w:rsid w:val="006F2B42"/>
    <w:rsid w:val="006F750B"/>
    <w:rsid w:val="006F7B8B"/>
    <w:rsid w:val="0074012D"/>
    <w:rsid w:val="00753896"/>
    <w:rsid w:val="007B0D8C"/>
    <w:rsid w:val="007E26FC"/>
    <w:rsid w:val="007F59FA"/>
    <w:rsid w:val="00810930"/>
    <w:rsid w:val="00875F1C"/>
    <w:rsid w:val="008A11D1"/>
    <w:rsid w:val="00906731"/>
    <w:rsid w:val="0091366B"/>
    <w:rsid w:val="009137B3"/>
    <w:rsid w:val="009204B7"/>
    <w:rsid w:val="00934F4F"/>
    <w:rsid w:val="00942B7B"/>
    <w:rsid w:val="00976931"/>
    <w:rsid w:val="009D23CB"/>
    <w:rsid w:val="00A250E6"/>
    <w:rsid w:val="00A27663"/>
    <w:rsid w:val="00A51A72"/>
    <w:rsid w:val="00AB2A29"/>
    <w:rsid w:val="00B0287D"/>
    <w:rsid w:val="00B24F11"/>
    <w:rsid w:val="00B354A7"/>
    <w:rsid w:val="00B45C1C"/>
    <w:rsid w:val="00BC4A9F"/>
    <w:rsid w:val="00BE339A"/>
    <w:rsid w:val="00BE7448"/>
    <w:rsid w:val="00BF3125"/>
    <w:rsid w:val="00C464AF"/>
    <w:rsid w:val="00CF1E3C"/>
    <w:rsid w:val="00D02A16"/>
    <w:rsid w:val="00D27DB0"/>
    <w:rsid w:val="00D5747F"/>
    <w:rsid w:val="00D74740"/>
    <w:rsid w:val="00DE4638"/>
    <w:rsid w:val="00E0053C"/>
    <w:rsid w:val="00E02E2F"/>
    <w:rsid w:val="00E17DB0"/>
    <w:rsid w:val="00E41B0A"/>
    <w:rsid w:val="00E465A2"/>
    <w:rsid w:val="00E858FC"/>
    <w:rsid w:val="00EA225B"/>
    <w:rsid w:val="00EE3BA2"/>
    <w:rsid w:val="00EE462D"/>
    <w:rsid w:val="00EE6A3F"/>
    <w:rsid w:val="00F06A88"/>
    <w:rsid w:val="00F1006C"/>
    <w:rsid w:val="00F41889"/>
    <w:rsid w:val="00F538E8"/>
    <w:rsid w:val="00F746B1"/>
    <w:rsid w:val="00F94DD2"/>
    <w:rsid w:val="00FB34D2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D444-9399-440F-8ECD-96A3B15C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8</cp:revision>
  <cp:lastPrinted>2016-04-01T10:45:00Z</cp:lastPrinted>
  <dcterms:created xsi:type="dcterms:W3CDTF">2016-09-14T12:16:00Z</dcterms:created>
  <dcterms:modified xsi:type="dcterms:W3CDTF">2016-09-14T13:45:00Z</dcterms:modified>
</cp:coreProperties>
</file>